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03178127"/>
    <w:p w14:paraId="3BFB7107" w14:textId="3966EC61" w:rsidR="0078486C" w:rsidRPr="00CD73A6" w:rsidRDefault="0078486C" w:rsidP="00932EDC">
      <w:pPr>
        <w:pStyle w:val="Titolo1"/>
        <w:rPr>
          <w:rFonts w:cs="Times New Roman"/>
          <w:b/>
          <w:bCs/>
          <w:iCs/>
          <w:color w:val="auto"/>
          <w:sz w:val="22"/>
          <w:szCs w:val="22"/>
        </w:rPr>
      </w:pPr>
      <w:r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5FBA3D7D"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bookmarkEnd w:id="0"/>
      <w:r w:rsidR="00C01E75">
        <w:rPr>
          <w:rFonts w:cs="Times New Roman"/>
          <w:noProof/>
          <w:sz w:val="28"/>
          <w:szCs w:val="28"/>
        </w:rPr>
        <w:drawing>
          <wp:inline distT="0" distB="0" distL="0" distR="0" wp14:anchorId="3C872705" wp14:editId="733EE723">
            <wp:extent cx="6120130" cy="796925"/>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130" cy="796925"/>
                    </a:xfrm>
                    <a:prstGeom prst="rect">
                      <a:avLst/>
                    </a:prstGeom>
                  </pic:spPr>
                </pic:pic>
              </a:graphicData>
            </a:graphic>
          </wp:inline>
        </w:drawing>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7A27086D" w14:textId="77777777" w:rsidR="005B722B" w:rsidRDefault="005B722B" w:rsidP="005B722B">
      <w:pPr>
        <w:autoSpaceDE w:val="0"/>
        <w:autoSpaceDN w:val="0"/>
        <w:adjustRightInd w:val="0"/>
        <w:spacing w:after="0" w:line="240" w:lineRule="auto"/>
        <w:jc w:val="center"/>
        <w:rPr>
          <w:rFonts w:ascii="Garamond-Bold" w:hAnsi="Garamond-Bold" w:cs="Garamond-Bold"/>
          <w:b/>
          <w:bCs/>
          <w:sz w:val="24"/>
          <w:szCs w:val="24"/>
        </w:rPr>
      </w:pPr>
      <w:r w:rsidRPr="00787B44">
        <w:rPr>
          <w:rFonts w:ascii="Garamond-Bold" w:hAnsi="Garamond-Bold" w:cs="Garamond-Bold"/>
          <w:b/>
          <w:bCs/>
          <w:sz w:val="24"/>
          <w:szCs w:val="24"/>
        </w:rPr>
        <w:t xml:space="preserve">Avviso a presentare percorsi extra diritto-dovere, in modalità duale </w:t>
      </w:r>
    </w:p>
    <w:p w14:paraId="467B406C" w14:textId="77777777" w:rsidR="005B722B" w:rsidRDefault="005B722B" w:rsidP="005B722B">
      <w:pPr>
        <w:autoSpaceDE w:val="0"/>
        <w:autoSpaceDN w:val="0"/>
        <w:adjustRightInd w:val="0"/>
        <w:spacing w:after="0" w:line="240" w:lineRule="auto"/>
        <w:jc w:val="center"/>
        <w:rPr>
          <w:rFonts w:ascii="Garamond-Bold" w:hAnsi="Garamond-Bold" w:cs="Garamond-Bold"/>
          <w:b/>
          <w:bCs/>
          <w:sz w:val="24"/>
          <w:szCs w:val="24"/>
        </w:rPr>
      </w:pPr>
      <w:r w:rsidRPr="00787B44">
        <w:rPr>
          <w:rFonts w:ascii="Garamond-Bold" w:hAnsi="Garamond-Bold" w:cs="Garamond-Bold"/>
          <w:b/>
          <w:bCs/>
          <w:sz w:val="24"/>
          <w:szCs w:val="24"/>
        </w:rPr>
        <w:t xml:space="preserve">- </w:t>
      </w:r>
      <w:r>
        <w:rPr>
          <w:rFonts w:ascii="Garamond-Bold" w:hAnsi="Garamond-Bold" w:cs="Garamond-Bold"/>
          <w:b/>
          <w:bCs/>
          <w:sz w:val="24"/>
          <w:szCs w:val="24"/>
        </w:rPr>
        <w:t>A</w:t>
      </w:r>
      <w:r w:rsidRPr="00787B44">
        <w:rPr>
          <w:rFonts w:ascii="Garamond-Bold" w:hAnsi="Garamond-Bold" w:cs="Garamond-Bold"/>
          <w:b/>
          <w:bCs/>
          <w:sz w:val="24"/>
          <w:szCs w:val="24"/>
        </w:rPr>
        <w:t xml:space="preserve">pprendistato di </w:t>
      </w:r>
      <w:r>
        <w:rPr>
          <w:rFonts w:ascii="Garamond-Bold" w:hAnsi="Garamond-Bold" w:cs="Garamond-Bold"/>
          <w:b/>
          <w:bCs/>
          <w:sz w:val="24"/>
          <w:szCs w:val="24"/>
        </w:rPr>
        <w:t>I</w:t>
      </w:r>
      <w:r w:rsidRPr="00787B44">
        <w:rPr>
          <w:rFonts w:ascii="Garamond-Bold" w:hAnsi="Garamond-Bold" w:cs="Garamond-Bold"/>
          <w:b/>
          <w:bCs/>
          <w:sz w:val="24"/>
          <w:szCs w:val="24"/>
        </w:rPr>
        <w:t xml:space="preserve"> livello o </w:t>
      </w:r>
      <w:r>
        <w:rPr>
          <w:rFonts w:ascii="Garamond-Bold" w:hAnsi="Garamond-Bold" w:cs="Garamond-Bold"/>
          <w:b/>
          <w:bCs/>
          <w:sz w:val="24"/>
          <w:szCs w:val="24"/>
        </w:rPr>
        <w:t>A</w:t>
      </w:r>
      <w:r w:rsidRPr="00787B44">
        <w:rPr>
          <w:rFonts w:ascii="Garamond-Bold" w:hAnsi="Garamond-Bold" w:cs="Garamond-Bold"/>
          <w:b/>
          <w:bCs/>
          <w:sz w:val="24"/>
          <w:szCs w:val="24"/>
        </w:rPr>
        <w:t xml:space="preserve">lternanza rafforzata </w:t>
      </w:r>
      <w:r>
        <w:rPr>
          <w:rFonts w:ascii="Garamond-Bold" w:hAnsi="Garamond-Bold" w:cs="Garamond-Bold"/>
          <w:b/>
          <w:bCs/>
          <w:sz w:val="24"/>
          <w:szCs w:val="24"/>
        </w:rPr>
        <w:t>–</w:t>
      </w:r>
      <w:r w:rsidRPr="00787B44">
        <w:rPr>
          <w:rFonts w:ascii="Garamond-Bold" w:hAnsi="Garamond-Bold" w:cs="Garamond-Bold"/>
          <w:b/>
          <w:bCs/>
          <w:sz w:val="24"/>
          <w:szCs w:val="24"/>
        </w:rPr>
        <w:t xml:space="preserve"> </w:t>
      </w:r>
    </w:p>
    <w:p w14:paraId="01634EC6" w14:textId="77777777" w:rsidR="005B722B" w:rsidRDefault="005B722B" w:rsidP="005B722B">
      <w:pPr>
        <w:autoSpaceDE w:val="0"/>
        <w:autoSpaceDN w:val="0"/>
        <w:adjustRightInd w:val="0"/>
        <w:spacing w:after="0" w:line="240" w:lineRule="auto"/>
        <w:jc w:val="center"/>
        <w:rPr>
          <w:rFonts w:ascii="Garamond-Bold" w:hAnsi="Garamond-Bold" w:cs="Garamond-Bold"/>
          <w:b/>
          <w:bCs/>
          <w:sz w:val="24"/>
          <w:szCs w:val="24"/>
        </w:rPr>
      </w:pPr>
      <w:r w:rsidRPr="00787B44">
        <w:rPr>
          <w:rFonts w:ascii="Garamond-Bold" w:hAnsi="Garamond-Bold" w:cs="Garamond-Bold"/>
          <w:b/>
          <w:bCs/>
          <w:sz w:val="24"/>
          <w:szCs w:val="24"/>
        </w:rPr>
        <w:t xml:space="preserve">per il conseguimento di un certificato di qualifica (EQF IV liv.) </w:t>
      </w:r>
    </w:p>
    <w:p w14:paraId="59D1A5BF" w14:textId="77777777" w:rsidR="005B722B" w:rsidRPr="00787B44" w:rsidRDefault="005B722B" w:rsidP="005B722B">
      <w:pPr>
        <w:autoSpaceDE w:val="0"/>
        <w:autoSpaceDN w:val="0"/>
        <w:adjustRightInd w:val="0"/>
        <w:spacing w:after="0" w:line="240" w:lineRule="auto"/>
        <w:jc w:val="center"/>
        <w:rPr>
          <w:rFonts w:ascii="Garamond-Bold" w:hAnsi="Garamond-Bold" w:cs="Garamond-Bold"/>
          <w:b/>
          <w:bCs/>
          <w:sz w:val="24"/>
          <w:szCs w:val="24"/>
        </w:rPr>
      </w:pPr>
      <w:r>
        <w:rPr>
          <w:rFonts w:ascii="Garamond-Bold" w:hAnsi="Garamond-Bold" w:cs="Garamond-Bold"/>
          <w:b/>
          <w:bCs/>
          <w:sz w:val="24"/>
          <w:szCs w:val="24"/>
        </w:rPr>
        <w:t>c</w:t>
      </w:r>
      <w:r w:rsidRPr="00787B44">
        <w:rPr>
          <w:rFonts w:ascii="Garamond-Bold" w:hAnsi="Garamond-Bold" w:cs="Garamond-Bold"/>
          <w:b/>
          <w:bCs/>
          <w:sz w:val="24"/>
          <w:szCs w:val="24"/>
        </w:rPr>
        <w:t xml:space="preserve">on valore di diploma professionale </w:t>
      </w:r>
    </w:p>
    <w:p w14:paraId="5AD0637B" w14:textId="77777777" w:rsidR="005B722B" w:rsidRDefault="005B722B" w:rsidP="005B722B">
      <w:pPr>
        <w:autoSpaceDE w:val="0"/>
        <w:autoSpaceDN w:val="0"/>
        <w:adjustRightInd w:val="0"/>
        <w:spacing w:after="0" w:line="240" w:lineRule="auto"/>
        <w:jc w:val="center"/>
        <w:rPr>
          <w:rFonts w:ascii="Garamond-Bold" w:hAnsi="Garamond-Bold" w:cs="Garamond-Bold"/>
          <w:b/>
          <w:bCs/>
          <w:sz w:val="24"/>
          <w:szCs w:val="24"/>
        </w:rPr>
      </w:pPr>
      <w:r w:rsidRPr="00787B44">
        <w:rPr>
          <w:rFonts w:ascii="Garamond-Bold" w:hAnsi="Garamond-Bold" w:cs="Garamond-Bold"/>
          <w:b/>
          <w:bCs/>
          <w:sz w:val="24"/>
          <w:szCs w:val="24"/>
        </w:rPr>
        <w:t>Procedura just in time</w:t>
      </w:r>
    </w:p>
    <w:p w14:paraId="07855BD9" w14:textId="2EB5A571" w:rsidR="005B722B" w:rsidRPr="00787B44" w:rsidRDefault="005B722B" w:rsidP="005B722B">
      <w:pPr>
        <w:autoSpaceDE w:val="0"/>
        <w:autoSpaceDN w:val="0"/>
        <w:adjustRightInd w:val="0"/>
        <w:spacing w:after="0" w:line="240" w:lineRule="auto"/>
        <w:jc w:val="center"/>
        <w:rPr>
          <w:rFonts w:ascii="Garamond-Bold" w:hAnsi="Garamond-Bold" w:cs="Garamond-Bold"/>
          <w:i/>
          <w:iCs/>
          <w:sz w:val="24"/>
          <w:szCs w:val="24"/>
        </w:rPr>
      </w:pPr>
      <w:r w:rsidRPr="00787B44">
        <w:rPr>
          <w:rFonts w:ascii="Garamond-Bold" w:hAnsi="Garamond-Bold" w:cs="Garamond-Bold"/>
          <w:i/>
          <w:iCs/>
          <w:sz w:val="24"/>
          <w:szCs w:val="24"/>
        </w:rPr>
        <w:t xml:space="preserve">Delibera di Giunta regionale n. </w:t>
      </w:r>
      <w:r w:rsidR="00A16DC5">
        <w:rPr>
          <w:rFonts w:ascii="Garamond-Bold" w:hAnsi="Garamond-Bold" w:cs="Garamond-Bold"/>
          <w:i/>
          <w:iCs/>
          <w:sz w:val="24"/>
          <w:szCs w:val="24"/>
        </w:rPr>
        <w:t xml:space="preserve">1549 </w:t>
      </w:r>
      <w:r w:rsidRPr="00787B44">
        <w:rPr>
          <w:rFonts w:ascii="Garamond-Bold" w:hAnsi="Garamond-Bold" w:cs="Garamond-Bold"/>
          <w:i/>
          <w:iCs/>
          <w:sz w:val="24"/>
          <w:szCs w:val="24"/>
        </w:rPr>
        <w:t>del 19/09/2022</w:t>
      </w:r>
    </w:p>
    <w:p w14:paraId="382BF21C" w14:textId="76271359" w:rsidR="0078486C" w:rsidRPr="00CD73A6" w:rsidRDefault="00DD1161" w:rsidP="00CD73A6">
      <w:pPr>
        <w:spacing w:after="0"/>
        <w:jc w:val="both"/>
        <w:rPr>
          <w:rFonts w:ascii="Garamond" w:hAnsi="Garamond" w:cs="Times New Roman"/>
        </w:rPr>
      </w:pPr>
      <w:r>
        <w:rPr>
          <w:rFonts w:ascii="Garamond" w:hAnsi="Garamond" w:cs="Times New Roman"/>
        </w:rPr>
        <w:br/>
      </w:r>
    </w:p>
    <w:p w14:paraId="1D6F05B0" w14:textId="76DE6A00" w:rsidR="00932EDC" w:rsidRPr="00CD73A6" w:rsidRDefault="00932EDC" w:rsidP="00DD1161">
      <w:pPr>
        <w:pStyle w:val="Titolo1"/>
        <w:jc w:val="center"/>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38009195" w14:textId="77777777" w:rsidR="005B722B" w:rsidRDefault="005B722B" w:rsidP="0078486C">
      <w:pPr>
        <w:rPr>
          <w:rFonts w:ascii="Garamond" w:eastAsia="Garamond" w:hAnsi="Garamond" w:cs="Times New Roman"/>
          <w:b/>
        </w:rPr>
      </w:pP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Protection Regulation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ReGiS, messo a disposizione dal Servizio centrale per il PNRR o di altri sistemi informativi locali adottati per lo scambio elettronico dei dati) e la pubblicazione degli elementi ritenuti non sensibili nei siti istituzionali e di consultazione aperta </w:t>
      </w:r>
      <w:hyperlink r:id="rId10"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1"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1977B5DF"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Disposizioni contenute nel del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0233AA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da ultimo, con le modifiche apportate dalla legge 27 dicembre 2019, n. 160, dal d.l. 14 giugno 2019, n. 53, dal D.M. 15 marzo 2019 e dal decreto di adeguamento d.l. 10 agosto 2018, n. 101, alle </w:t>
            </w:r>
            <w:r w:rsidRPr="00A6386F">
              <w:rPr>
                <w:rFonts w:ascii="Garamond" w:eastAsia="Garamond" w:hAnsi="Garamond" w:cs="Times New Roman"/>
                <w:color w:val="FFFFFF" w:themeColor="background1"/>
                <w:sz w:val="24"/>
                <w:szCs w:val="24"/>
              </w:rPr>
              <w:lastRenderedPageBreak/>
              <w:t xml:space="preserve">disposizioni contenute nel Regolamento UE 2016/679 (General data protection regulation, c.d. GDPR Privacy);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d.lgs. 25 maggio 2016, n. 97, Revisione e semplificazione delle disposizioni in materia di prevenzione della corruzione, pubblicità e trasparenza, correttivo della legge n. 190 del 6 novembre 2012 e del d.l.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1B2F1CE7" w14:textId="65F9FB7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Decreto Legge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ReGiS,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s.m.i.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592C1B" w:rsidRDefault="0078486C" w:rsidP="00592C1B">
      <w:pPr>
        <w:numPr>
          <w:ilvl w:val="0"/>
          <w:numId w:val="36"/>
        </w:numPr>
        <w:pBdr>
          <w:top w:val="nil"/>
          <w:left w:val="nil"/>
          <w:bottom w:val="nil"/>
          <w:right w:val="nil"/>
          <w:between w:val="nil"/>
        </w:pBdr>
        <w:spacing w:before="120"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lastRenderedPageBreak/>
        <w:t>dati relativi ai soggetti coinvolti nell’attuazione, quali i Soggetti attuatori, realizzatori, destinatari degli interventi, incluso codice fiscale e/o partita IVA;</w:t>
      </w:r>
    </w:p>
    <w:p w14:paraId="286E2BF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procedurali, quali cronoprogramma e </w:t>
      </w:r>
      <w:r w:rsidRPr="00592C1B">
        <w:rPr>
          <w:rFonts w:ascii="Garamond" w:eastAsia="Garamond" w:hAnsi="Garamond" w:cs="Times New Roman"/>
          <w:i/>
          <w:color w:val="000000"/>
          <w:sz w:val="24"/>
          <w:szCs w:val="24"/>
        </w:rPr>
        <w:t>step</w:t>
      </w:r>
      <w:r w:rsidRPr="00592C1B">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dati fisici, (previsti e realizzati) quali indicatori di output (progressi compiuti) e di outcome (effetti generati) attraverso la valorizzazione di un set di indicatori specifico e la raccolta e catalogazione di documentazione a supporto;</w:t>
      </w:r>
    </w:p>
    <w:p w14:paraId="3716E5BF"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livello di conseguimento di </w:t>
      </w:r>
      <w:r w:rsidRPr="00592C1B">
        <w:rPr>
          <w:rFonts w:ascii="Garamond" w:eastAsia="Garamond" w:hAnsi="Garamond" w:cs="Times New Roman"/>
          <w:i/>
          <w:color w:val="000000"/>
          <w:sz w:val="24"/>
          <w:szCs w:val="24"/>
        </w:rPr>
        <w:t>milestone</w:t>
      </w:r>
      <w:r w:rsidRPr="00592C1B">
        <w:rPr>
          <w:rFonts w:ascii="Garamond" w:eastAsia="Garamond" w:hAnsi="Garamond" w:cs="Times New Roman"/>
          <w:color w:val="000000"/>
          <w:sz w:val="24"/>
          <w:szCs w:val="24"/>
        </w:rPr>
        <w:t xml:space="preserve"> e </w:t>
      </w:r>
      <w:r w:rsidRPr="00592C1B">
        <w:rPr>
          <w:rFonts w:ascii="Garamond" w:eastAsia="Garamond" w:hAnsi="Garamond" w:cs="Times New Roman"/>
          <w:i/>
          <w:color w:val="000000"/>
          <w:sz w:val="24"/>
          <w:szCs w:val="24"/>
        </w:rPr>
        <w:t>target</w:t>
      </w:r>
      <w:r w:rsidRPr="00592C1B">
        <w:rPr>
          <w:rFonts w:ascii="Garamond" w:eastAsia="Garamond" w:hAnsi="Garamond" w:cs="Times New Roman"/>
          <w:color w:val="000000"/>
          <w:sz w:val="24"/>
          <w:szCs w:val="24"/>
        </w:rPr>
        <w:t>, per gli interventi che concorrono al loro raggiungimento;</w:t>
      </w:r>
    </w:p>
    <w:p w14:paraId="0478961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592C1B" w:rsidRDefault="0078486C" w:rsidP="00592C1B">
      <w:pPr>
        <w:numPr>
          <w:ilvl w:val="0"/>
          <w:numId w:val="36"/>
        </w:num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elementi utili alla verifica del soddisfacimento del requisito “</w:t>
      </w:r>
      <w:r w:rsidRPr="00592C1B">
        <w:rPr>
          <w:rFonts w:ascii="Garamond" w:eastAsia="Garamond" w:hAnsi="Garamond" w:cs="Times New Roman"/>
          <w:i/>
          <w:color w:val="000000"/>
          <w:sz w:val="24"/>
          <w:szCs w:val="24"/>
        </w:rPr>
        <w:t>Do No Significant Harm (DNSH)</w:t>
      </w:r>
      <w:r w:rsidRPr="00592C1B">
        <w:rPr>
          <w:rFonts w:ascii="Garamond" w:eastAsia="Garamond" w:hAnsi="Garamond" w:cs="Times New Roman"/>
          <w:color w:val="000000"/>
          <w:sz w:val="24"/>
          <w:szCs w:val="24"/>
        </w:rPr>
        <w:t>”;</w:t>
      </w:r>
    </w:p>
    <w:p w14:paraId="40239830" w14:textId="77777777" w:rsidR="0078486C" w:rsidRPr="00592C1B" w:rsidRDefault="0078486C" w:rsidP="00592C1B">
      <w:pPr>
        <w:numPr>
          <w:ilvl w:val="0"/>
          <w:numId w:val="36"/>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592C1B">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7A25ECF3"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lastRenderedPageBreak/>
        <w:t>Al fine di semplificare le modalità di inoltro e ridurre i tempi per il riscontro si invita a presentare le richieste di cui</w:t>
      </w:r>
      <w:r w:rsidR="003234CF" w:rsidRPr="00D41D59">
        <w:rPr>
          <w:rFonts w:ascii="Garamond" w:eastAsia="Garamond" w:hAnsi="Garamond" w:cs="Times New Roman"/>
          <w:b/>
          <w:bCs/>
          <w:sz w:val="24"/>
          <w:szCs w:val="24"/>
        </w:rPr>
        <w:t xml:space="preserve"> </w:t>
      </w:r>
      <w:r w:rsidR="003234CF" w:rsidRPr="00D41D59">
        <w:rPr>
          <w:rFonts w:ascii="Garamond" w:eastAsia="Garamond" w:hAnsi="Garamond" w:cs="Times New Roman"/>
          <w:sz w:val="24"/>
          <w:szCs w:val="24"/>
        </w:rPr>
        <w:t>al presente</w:t>
      </w:r>
      <w:r w:rsidR="00D41D59" w:rsidRPr="00D41D59">
        <w:rPr>
          <w:rFonts w:ascii="Garamond" w:eastAsia="Garamond" w:hAnsi="Garamond" w:cs="Times New Roman"/>
          <w:sz w:val="24"/>
          <w:szCs w:val="24"/>
        </w:rPr>
        <w:t xml:space="preserve"> paragrafo, </w:t>
      </w:r>
      <w:r w:rsidRPr="00D41D59">
        <w:rPr>
          <w:rFonts w:ascii="Garamond" w:eastAsia="Garamond" w:hAnsi="Garamond" w:cs="Times New Roman"/>
          <w:sz w:val="24"/>
          <w:szCs w:val="24"/>
        </w:rPr>
        <w:t xml:space="preserve">alla Regione Emilia-Romagna, Ufficio per le relazioni con il pubblico (Urp), per iscritto o recandosi direttamente presso lo sportello Urp. </w:t>
      </w:r>
    </w:p>
    <w:p w14:paraId="49292445" w14:textId="3B5B5BEF" w:rsidR="00B750FE" w:rsidRPr="00D41D59" w:rsidRDefault="00B750FE" w:rsidP="00B750FE">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L’Urp è aperto dal lunedì al venerdì dalle 9 alle 13 in Viale Aldo Moro 52, 40127 Bologna (Italia): telefono 800-662200, fax 051-527.5360, e-mail urp@regione.emilia-romagna.it.</w:t>
      </w:r>
    </w:p>
    <w:p w14:paraId="26080B4C" w14:textId="77777777" w:rsidR="00B750FE" w:rsidRPr="00D41D59"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D41D59">
        <w:rPr>
          <w:rFonts w:ascii="Garamond" w:eastAsia="Garamond" w:hAnsi="Garamond" w:cs="Times New Roman"/>
          <w:sz w:val="24"/>
          <w:szCs w:val="24"/>
        </w:rPr>
        <w:t>Il Responsabile della Protezione dei dati /</w:t>
      </w:r>
      <w:r w:rsidR="00D86711" w:rsidRPr="00D41D59">
        <w:rPr>
          <w:rFonts w:ascii="Garamond" w:eastAsia="Garamond" w:hAnsi="Garamond" w:cs="Times New Roman"/>
          <w:sz w:val="24"/>
          <w:szCs w:val="24"/>
        </w:rPr>
        <w:t xml:space="preserve"> </w:t>
      </w:r>
      <w:r w:rsidRPr="00D41D59">
        <w:rPr>
          <w:rFonts w:ascii="Garamond" w:eastAsia="Garamond" w:hAnsi="Garamond" w:cs="Times New Roman"/>
          <w:sz w:val="24"/>
          <w:szCs w:val="24"/>
        </w:rPr>
        <w:t>Data Protection Officer</w:t>
      </w:r>
      <w:r w:rsidR="00D86711" w:rsidRPr="00D41D59">
        <w:rPr>
          <w:rFonts w:ascii="Garamond" w:eastAsia="Garamond" w:hAnsi="Garamond" w:cs="Times New Roman"/>
          <w:sz w:val="24"/>
          <w:szCs w:val="24"/>
        </w:rPr>
        <w:t xml:space="preserve"> </w:t>
      </w:r>
      <w:r w:rsidR="006016B1" w:rsidRPr="00D41D59">
        <w:rPr>
          <w:rFonts w:ascii="Garamond" w:eastAsia="Garamond" w:hAnsi="Garamond" w:cs="Times New Roman"/>
          <w:sz w:val="24"/>
          <w:szCs w:val="24"/>
        </w:rPr>
        <w:t xml:space="preserve">è contattabile all’indirizzo mail dpo@regione.emilia-romagna.it o presso la sede della Regione Emilia-Romagna di Viale Aldo Moro n. 30. </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Paragrafo 2) lett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lastRenderedPageBreak/>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D. Lgs 196/2003 e s.m.i.,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15">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D.Lgs.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16">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4. 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assenza  di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474553FA" w:rsidR="003A603F" w:rsidRDefault="003A603F" w:rsidP="003A603F">
      <w:pPr>
        <w:rPr>
          <w:rFonts w:ascii="Garamond" w:eastAsia="Garamond" w:hAnsi="Garamond" w:cs="Times New Roman"/>
          <w:b/>
        </w:rPr>
      </w:pPr>
    </w:p>
    <w:p w14:paraId="49B37842" w14:textId="05195F09" w:rsidR="00C01E75" w:rsidRDefault="00C01E75" w:rsidP="003A603F">
      <w:pPr>
        <w:rPr>
          <w:rFonts w:ascii="Garamond" w:eastAsia="Garamond" w:hAnsi="Garamond" w:cs="Times New Roman"/>
          <w:b/>
        </w:rPr>
      </w:pPr>
    </w:p>
    <w:p w14:paraId="57A4B99F" w14:textId="642D2625" w:rsidR="00C01E75" w:rsidRDefault="00C01E75" w:rsidP="003A603F">
      <w:pPr>
        <w:rPr>
          <w:rFonts w:ascii="Garamond" w:eastAsia="Garamond" w:hAnsi="Garamond" w:cs="Times New Roman"/>
          <w:b/>
        </w:rPr>
      </w:pPr>
    </w:p>
    <w:p w14:paraId="0643D0B8" w14:textId="13566E8F" w:rsidR="0078486C" w:rsidRPr="00674429" w:rsidRDefault="0078486C" w:rsidP="00DD1161">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rsidSect="00C01E75">
      <w:headerReference w:type="even" r:id="rId17"/>
      <w:headerReference w:type="default" r:id="rId18"/>
      <w:footerReference w:type="even" r:id="rId19"/>
      <w:footerReference w:type="default" r:id="rId20"/>
      <w:headerReference w:type="first" r:id="rId21"/>
      <w:footerReference w:type="first" r:id="rId22"/>
      <w:pgSz w:w="11906" w:h="16838"/>
      <w:pgMar w:top="1135"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18CA6" w14:textId="77777777" w:rsidR="006967AD" w:rsidRDefault="006967AD">
      <w:pPr>
        <w:spacing w:after="0" w:line="240" w:lineRule="auto"/>
      </w:pPr>
      <w:r>
        <w:separator/>
      </w:r>
    </w:p>
  </w:endnote>
  <w:endnote w:type="continuationSeparator" w:id="0">
    <w:p w14:paraId="08230BCD" w14:textId="77777777" w:rsidR="006967AD" w:rsidRDefault="0069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646059"/>
      <w:docPartObj>
        <w:docPartGallery w:val="Page Numbers (Bottom of Page)"/>
        <w:docPartUnique/>
      </w:docPartObj>
    </w:sdtPr>
    <w:sdtEnd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81B64" w14:textId="77777777" w:rsidR="006967AD" w:rsidRDefault="006967AD">
      <w:pPr>
        <w:spacing w:after="0" w:line="240" w:lineRule="auto"/>
      </w:pPr>
      <w:r>
        <w:separator/>
      </w:r>
    </w:p>
  </w:footnote>
  <w:footnote w:type="continuationSeparator" w:id="0">
    <w:p w14:paraId="05E7CA99" w14:textId="77777777" w:rsidR="006967AD" w:rsidRDefault="006967AD">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71FC7"/>
    <w:multiLevelType w:val="hybridMultilevel"/>
    <w:tmpl w:val="7B584FC6"/>
    <w:lvl w:ilvl="0" w:tplc="54C6909A">
      <w:start w:val="1"/>
      <w:numFmt w:val="bullet"/>
      <w:lvlText w:val="-"/>
      <w:lvlJc w:val="left"/>
      <w:pPr>
        <w:ind w:left="360" w:hanging="360"/>
      </w:pPr>
      <w:rPr>
        <w:rFonts w:ascii="Garamond" w:hAnsi="Garamond"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7"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36C19BD"/>
    <w:multiLevelType w:val="hybridMultilevel"/>
    <w:tmpl w:val="4506724A"/>
    <w:lvl w:ilvl="0" w:tplc="769C9AAA">
      <w:start w:val="1"/>
      <w:numFmt w:val="bullet"/>
      <w:lvlText w:val="-"/>
      <w:lvlJc w:val="left"/>
      <w:pPr>
        <w:ind w:left="360" w:hanging="360"/>
      </w:pPr>
      <w:rPr>
        <w:rFonts w:ascii="Arial" w:hAnsi="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5" w15:restartNumberingAfterBreak="0">
    <w:nsid w:val="57A77C23"/>
    <w:multiLevelType w:val="multilevel"/>
    <w:tmpl w:val="1E1A2F4C"/>
    <w:lvl w:ilvl="0">
      <w:start w:val="1"/>
      <w:numFmt w:val="bullet"/>
      <w:lvlText w:val="-"/>
      <w:lvlJc w:val="left"/>
      <w:pPr>
        <w:ind w:left="360" w:hanging="360"/>
      </w:pPr>
      <w:rPr>
        <w:rFonts w:ascii="Garamond" w:eastAsia="Garamond" w:hAnsi="Garamond" w:cs="Garamond"/>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6"/>
  </w:num>
  <w:num w:numId="3" w16cid:durableId="970675261">
    <w:abstractNumId w:val="33"/>
  </w:num>
  <w:num w:numId="4" w16cid:durableId="551699745">
    <w:abstractNumId w:val="10"/>
  </w:num>
  <w:num w:numId="5" w16cid:durableId="1587618366">
    <w:abstractNumId w:val="15"/>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9"/>
  </w:num>
  <w:num w:numId="11" w16cid:durableId="918906927">
    <w:abstractNumId w:val="21"/>
  </w:num>
  <w:num w:numId="12" w16cid:durableId="1913734004">
    <w:abstractNumId w:val="22"/>
  </w:num>
  <w:num w:numId="13" w16cid:durableId="1861892546">
    <w:abstractNumId w:val="0"/>
  </w:num>
  <w:num w:numId="14" w16cid:durableId="371928743">
    <w:abstractNumId w:val="7"/>
  </w:num>
  <w:num w:numId="15" w16cid:durableId="229390448">
    <w:abstractNumId w:val="31"/>
  </w:num>
  <w:num w:numId="16" w16cid:durableId="948052221">
    <w:abstractNumId w:val="20"/>
  </w:num>
  <w:num w:numId="17" w16cid:durableId="1660108504">
    <w:abstractNumId w:val="30"/>
  </w:num>
  <w:num w:numId="18" w16cid:durableId="1096947959">
    <w:abstractNumId w:val="28"/>
  </w:num>
  <w:num w:numId="19" w16cid:durableId="1279221625">
    <w:abstractNumId w:val="18"/>
  </w:num>
  <w:num w:numId="20" w16cid:durableId="1171064303">
    <w:abstractNumId w:val="4"/>
  </w:num>
  <w:num w:numId="21" w16cid:durableId="77018762">
    <w:abstractNumId w:val="32"/>
  </w:num>
  <w:num w:numId="22" w16cid:durableId="662389567">
    <w:abstractNumId w:val="24"/>
  </w:num>
  <w:num w:numId="23" w16cid:durableId="2141265939">
    <w:abstractNumId w:val="9"/>
  </w:num>
  <w:num w:numId="24" w16cid:durableId="2043169306">
    <w:abstractNumId w:val="1"/>
  </w:num>
  <w:num w:numId="25" w16cid:durableId="1912957386">
    <w:abstractNumId w:val="16"/>
  </w:num>
  <w:num w:numId="26" w16cid:durableId="1498185425">
    <w:abstractNumId w:val="11"/>
  </w:num>
  <w:num w:numId="27" w16cid:durableId="720591421">
    <w:abstractNumId w:val="34"/>
  </w:num>
  <w:num w:numId="28" w16cid:durableId="1501387193">
    <w:abstractNumId w:val="14"/>
  </w:num>
  <w:num w:numId="29" w16cid:durableId="386612174">
    <w:abstractNumId w:val="25"/>
  </w:num>
  <w:num w:numId="30" w16cid:durableId="962686800">
    <w:abstractNumId w:val="35"/>
  </w:num>
  <w:num w:numId="31" w16cid:durableId="1630014734">
    <w:abstractNumId w:val="17"/>
  </w:num>
  <w:num w:numId="32" w16cid:durableId="821000274">
    <w:abstractNumId w:val="29"/>
  </w:num>
  <w:num w:numId="33" w16cid:durableId="272715597">
    <w:abstractNumId w:val="27"/>
  </w:num>
  <w:num w:numId="34" w16cid:durableId="1135638388">
    <w:abstractNumId w:val="6"/>
  </w:num>
  <w:num w:numId="35" w16cid:durableId="2056467938">
    <w:abstractNumId w:val="23"/>
  </w:num>
  <w:num w:numId="36" w16cid:durableId="1092386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F456C"/>
    <w:rsid w:val="003069FC"/>
    <w:rsid w:val="00307DD0"/>
    <w:rsid w:val="0032187C"/>
    <w:rsid w:val="003234CF"/>
    <w:rsid w:val="003374F9"/>
    <w:rsid w:val="00347DB2"/>
    <w:rsid w:val="00370CF3"/>
    <w:rsid w:val="0038552F"/>
    <w:rsid w:val="003A603F"/>
    <w:rsid w:val="003C16B8"/>
    <w:rsid w:val="003E04A1"/>
    <w:rsid w:val="003F6107"/>
    <w:rsid w:val="00401319"/>
    <w:rsid w:val="00406B3F"/>
    <w:rsid w:val="00413A54"/>
    <w:rsid w:val="00466544"/>
    <w:rsid w:val="004722C9"/>
    <w:rsid w:val="0047681C"/>
    <w:rsid w:val="004E2D5F"/>
    <w:rsid w:val="004F7C0D"/>
    <w:rsid w:val="00532543"/>
    <w:rsid w:val="005350D3"/>
    <w:rsid w:val="00542539"/>
    <w:rsid w:val="00542D8F"/>
    <w:rsid w:val="0057556B"/>
    <w:rsid w:val="00586889"/>
    <w:rsid w:val="00592C1B"/>
    <w:rsid w:val="005956FF"/>
    <w:rsid w:val="005B0612"/>
    <w:rsid w:val="005B722B"/>
    <w:rsid w:val="005C6A96"/>
    <w:rsid w:val="005E184B"/>
    <w:rsid w:val="005E6A26"/>
    <w:rsid w:val="005F3B74"/>
    <w:rsid w:val="006016B1"/>
    <w:rsid w:val="006145BF"/>
    <w:rsid w:val="00616325"/>
    <w:rsid w:val="0062582C"/>
    <w:rsid w:val="00642F30"/>
    <w:rsid w:val="00646405"/>
    <w:rsid w:val="00674429"/>
    <w:rsid w:val="00682F6D"/>
    <w:rsid w:val="006967AD"/>
    <w:rsid w:val="006B10E8"/>
    <w:rsid w:val="006D4C12"/>
    <w:rsid w:val="006F042E"/>
    <w:rsid w:val="00714100"/>
    <w:rsid w:val="00721045"/>
    <w:rsid w:val="00732027"/>
    <w:rsid w:val="0074387A"/>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710BA"/>
    <w:rsid w:val="009A239D"/>
    <w:rsid w:val="009D2D3C"/>
    <w:rsid w:val="009F6D8D"/>
    <w:rsid w:val="00A00E7F"/>
    <w:rsid w:val="00A16A6C"/>
    <w:rsid w:val="00A16DC5"/>
    <w:rsid w:val="00A6386F"/>
    <w:rsid w:val="00A67A0E"/>
    <w:rsid w:val="00A80140"/>
    <w:rsid w:val="00AC0904"/>
    <w:rsid w:val="00AE7892"/>
    <w:rsid w:val="00AF1B27"/>
    <w:rsid w:val="00B060BC"/>
    <w:rsid w:val="00B563F6"/>
    <w:rsid w:val="00B750FE"/>
    <w:rsid w:val="00BC02F2"/>
    <w:rsid w:val="00C00473"/>
    <w:rsid w:val="00C00D57"/>
    <w:rsid w:val="00C01E75"/>
    <w:rsid w:val="00C15057"/>
    <w:rsid w:val="00C65831"/>
    <w:rsid w:val="00C709D8"/>
    <w:rsid w:val="00C754AA"/>
    <w:rsid w:val="00C75A7F"/>
    <w:rsid w:val="00C92A26"/>
    <w:rsid w:val="00CC258B"/>
    <w:rsid w:val="00CD0382"/>
    <w:rsid w:val="00CD73A6"/>
    <w:rsid w:val="00D37010"/>
    <w:rsid w:val="00D40932"/>
    <w:rsid w:val="00D41D59"/>
    <w:rsid w:val="00D72EF4"/>
    <w:rsid w:val="00D7415A"/>
    <w:rsid w:val="00D85805"/>
    <w:rsid w:val="00D86711"/>
    <w:rsid w:val="00DC1160"/>
    <w:rsid w:val="00DD1161"/>
    <w:rsid w:val="00DE32A1"/>
    <w:rsid w:val="00DE493A"/>
    <w:rsid w:val="00E02DA9"/>
    <w:rsid w:val="00E07F28"/>
    <w:rsid w:val="00E12298"/>
    <w:rsid w:val="00E13E80"/>
    <w:rsid w:val="00E164C6"/>
    <w:rsid w:val="00E35E18"/>
    <w:rsid w:val="00E46F21"/>
    <w:rsid w:val="00E60051"/>
    <w:rsid w:val="00E63113"/>
    <w:rsid w:val="00E72421"/>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E46D9"/>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settiegatti.eu/info/norme/statali/2013_0033.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azionelavoro.regione.emilia-romagn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osettiegatti.eu/info/norme/statali/2013_0033.htm" TargetMode="External"/><Relationship Id="rId23" Type="http://schemas.openxmlformats.org/officeDocument/2006/relationships/fontTable" Target="fontTable.xml"/><Relationship Id="rId10" Type="http://schemas.openxmlformats.org/officeDocument/2006/relationships/hyperlink" Target="http://www.regione.emilia-romagna.it"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3094</Words>
  <Characters>17637</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Arrighi Annamaria</cp:lastModifiedBy>
  <cp:revision>9</cp:revision>
  <cp:lastPrinted>2022-05-17T12:38:00Z</cp:lastPrinted>
  <dcterms:created xsi:type="dcterms:W3CDTF">2022-07-04T09:49:00Z</dcterms:created>
  <dcterms:modified xsi:type="dcterms:W3CDTF">2022-09-20T08:56:00Z</dcterms:modified>
</cp:coreProperties>
</file>